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81" w:rsidRDefault="00F80F81" w:rsidP="00601A66">
      <w:pPr>
        <w:shd w:val="clear" w:color="auto" w:fill="FFFFFF"/>
        <w:spacing w:after="0" w:line="240" w:lineRule="auto"/>
        <w:jc w:val="center"/>
        <w:rPr>
          <w:rFonts w:ascii="Arial" w:eastAsia="Times New Roman" w:hAnsi="Arial" w:cs="Arial"/>
          <w:color w:val="2964AE"/>
          <w:sz w:val="27"/>
          <w:szCs w:val="27"/>
          <w:lang w:eastAsia="en-IN"/>
        </w:rPr>
      </w:pPr>
      <w:r>
        <w:rPr>
          <w:rFonts w:ascii="Arial" w:eastAsia="Times New Roman" w:hAnsi="Arial" w:cs="Arial"/>
          <w:color w:val="2964AE"/>
          <w:sz w:val="27"/>
          <w:szCs w:val="27"/>
          <w:lang w:eastAsia="en-IN"/>
        </w:rPr>
        <w:t xml:space="preserve">Children T.T. College, </w:t>
      </w:r>
      <w:proofErr w:type="spellStart"/>
      <w:r>
        <w:rPr>
          <w:rFonts w:ascii="Arial" w:eastAsia="Times New Roman" w:hAnsi="Arial" w:cs="Arial"/>
          <w:color w:val="2964AE"/>
          <w:sz w:val="27"/>
          <w:szCs w:val="27"/>
          <w:lang w:eastAsia="en-IN"/>
        </w:rPr>
        <w:t>Dadabari</w:t>
      </w:r>
      <w:proofErr w:type="spellEnd"/>
      <w:r>
        <w:rPr>
          <w:rFonts w:ascii="Arial" w:eastAsia="Times New Roman" w:hAnsi="Arial" w:cs="Arial"/>
          <w:color w:val="2964AE"/>
          <w:sz w:val="27"/>
          <w:szCs w:val="27"/>
          <w:lang w:eastAsia="en-IN"/>
        </w:rPr>
        <w:t>, Kota</w:t>
      </w:r>
    </w:p>
    <w:p w:rsidR="007077FC" w:rsidRPr="007077FC" w:rsidRDefault="007077FC" w:rsidP="00601A66">
      <w:pPr>
        <w:shd w:val="clear" w:color="auto" w:fill="FFFFFF"/>
        <w:spacing w:after="0" w:line="240" w:lineRule="auto"/>
        <w:jc w:val="center"/>
        <w:rPr>
          <w:rFonts w:ascii="Arial" w:eastAsia="Times New Roman" w:hAnsi="Arial" w:cs="Arial"/>
          <w:color w:val="2964AE"/>
          <w:sz w:val="27"/>
          <w:szCs w:val="27"/>
          <w:lang w:eastAsia="en-IN"/>
        </w:rPr>
      </w:pPr>
      <w:r w:rsidRPr="007077FC">
        <w:rPr>
          <w:rFonts w:ascii="Arial" w:eastAsia="Times New Roman" w:hAnsi="Arial" w:cs="Arial"/>
          <w:color w:val="2964AE"/>
          <w:sz w:val="27"/>
          <w:szCs w:val="27"/>
          <w:lang w:eastAsia="en-IN"/>
        </w:rPr>
        <w:t>Student Satisfaction Survey A.Y. 20</w:t>
      </w:r>
      <w:r w:rsidR="00F80F81">
        <w:rPr>
          <w:rFonts w:ascii="Arial" w:eastAsia="Times New Roman" w:hAnsi="Arial" w:cs="Arial"/>
          <w:color w:val="2964AE"/>
          <w:sz w:val="27"/>
          <w:szCs w:val="27"/>
          <w:lang w:eastAsia="en-IN"/>
        </w:rPr>
        <w:t>21</w:t>
      </w:r>
      <w:r w:rsidRPr="007077FC">
        <w:rPr>
          <w:rFonts w:ascii="Arial" w:eastAsia="Times New Roman" w:hAnsi="Arial" w:cs="Arial"/>
          <w:color w:val="2964AE"/>
          <w:sz w:val="27"/>
          <w:szCs w:val="27"/>
          <w:lang w:eastAsia="en-IN"/>
        </w:rPr>
        <w:t xml:space="preserve"> - 20</w:t>
      </w:r>
      <w:r w:rsidR="00F80F81">
        <w:rPr>
          <w:rFonts w:ascii="Arial" w:eastAsia="Times New Roman" w:hAnsi="Arial" w:cs="Arial"/>
          <w:color w:val="2964AE"/>
          <w:sz w:val="27"/>
          <w:szCs w:val="27"/>
          <w:lang w:eastAsia="en-IN"/>
        </w:rPr>
        <w:t>22</w:t>
      </w:r>
    </w:p>
    <w:p w:rsidR="007077FC" w:rsidRPr="007077FC" w:rsidRDefault="007077FC" w:rsidP="007077FC">
      <w:pPr>
        <w:shd w:val="clear" w:color="auto" w:fill="FFFFFF"/>
        <w:spacing w:after="0" w:line="236" w:lineRule="atLeast"/>
        <w:jc w:val="both"/>
        <w:rPr>
          <w:rFonts w:ascii="Arial" w:eastAsia="Times New Roman" w:hAnsi="Arial" w:cs="Arial"/>
          <w:color w:val="151515"/>
          <w:sz w:val="15"/>
          <w:szCs w:val="15"/>
          <w:lang w:eastAsia="en-IN"/>
        </w:rPr>
      </w:pPr>
      <w:r w:rsidRPr="007077FC">
        <w:rPr>
          <w:rFonts w:ascii="Arial" w:eastAsia="Times New Roman" w:hAnsi="Arial" w:cs="Arial"/>
          <w:color w:val="151515"/>
          <w:sz w:val="15"/>
          <w:szCs w:val="15"/>
          <w:lang w:eastAsia="en-IN"/>
        </w:rPr>
        <w:t>Students Satisfaction Survey (SSS) was conducted for the Academic Year 20</w:t>
      </w:r>
      <w:r w:rsidR="00F80F81">
        <w:rPr>
          <w:rFonts w:ascii="Arial" w:eastAsia="Times New Roman" w:hAnsi="Arial" w:cs="Arial"/>
          <w:color w:val="151515"/>
          <w:sz w:val="15"/>
          <w:szCs w:val="15"/>
          <w:lang w:eastAsia="en-IN"/>
        </w:rPr>
        <w:t>21</w:t>
      </w:r>
      <w:r w:rsidRPr="007077FC">
        <w:rPr>
          <w:rFonts w:ascii="Arial" w:eastAsia="Times New Roman" w:hAnsi="Arial" w:cs="Arial"/>
          <w:color w:val="151515"/>
          <w:sz w:val="15"/>
          <w:szCs w:val="15"/>
          <w:lang w:eastAsia="en-IN"/>
        </w:rPr>
        <w:t>-</w:t>
      </w:r>
      <w:r w:rsidR="00F80F81">
        <w:rPr>
          <w:rFonts w:ascii="Arial" w:eastAsia="Times New Roman" w:hAnsi="Arial" w:cs="Arial"/>
          <w:color w:val="151515"/>
          <w:sz w:val="15"/>
          <w:szCs w:val="15"/>
          <w:lang w:eastAsia="en-IN"/>
        </w:rPr>
        <w:t>22</w:t>
      </w:r>
      <w:r w:rsidRPr="007077FC">
        <w:rPr>
          <w:rFonts w:ascii="Arial" w:eastAsia="Times New Roman" w:hAnsi="Arial" w:cs="Arial"/>
          <w:color w:val="151515"/>
          <w:sz w:val="15"/>
          <w:szCs w:val="15"/>
          <w:lang w:eastAsia="en-IN"/>
        </w:rPr>
        <w:t xml:space="preserve"> and responses from the students enrolled during that period were recorded online. The questionnaire has been framed based on NAAC guidelines for Students’ Satisfaction Survey. The survey questions were to be responded on a </w:t>
      </w:r>
      <w:r w:rsidRPr="007077FC">
        <w:rPr>
          <w:rFonts w:ascii="Arial" w:eastAsia="Times New Roman" w:hAnsi="Arial" w:cs="Arial"/>
          <w:b/>
          <w:bCs/>
          <w:color w:val="151515"/>
          <w:sz w:val="15"/>
          <w:lang w:eastAsia="en-IN"/>
        </w:rPr>
        <w:t>scale of 1 to 5</w:t>
      </w:r>
      <w:r w:rsidRPr="007077FC">
        <w:rPr>
          <w:rFonts w:ascii="Arial" w:eastAsia="Times New Roman" w:hAnsi="Arial" w:cs="Arial"/>
          <w:color w:val="151515"/>
          <w:sz w:val="15"/>
          <w:szCs w:val="15"/>
          <w:lang w:eastAsia="en-IN"/>
        </w:rPr>
        <w:t> (1 being the lowest and 5 being the highest). The summary is displayed on the college website for the reference of all stakeholders.</w:t>
      </w:r>
    </w:p>
    <w:tbl>
      <w:tblPr>
        <w:tblW w:w="10911" w:type="dxa"/>
        <w:tblInd w:w="-474" w:type="dxa"/>
        <w:tblCellMar>
          <w:top w:w="15" w:type="dxa"/>
          <w:left w:w="15" w:type="dxa"/>
          <w:bottom w:w="15" w:type="dxa"/>
          <w:right w:w="15" w:type="dxa"/>
        </w:tblCellMar>
        <w:tblLook w:val="04A0"/>
      </w:tblPr>
      <w:tblGrid>
        <w:gridCol w:w="1310"/>
        <w:gridCol w:w="7419"/>
        <w:gridCol w:w="2182"/>
      </w:tblGrid>
      <w:tr w:rsidR="007077FC" w:rsidRPr="007077FC" w:rsidTr="007077FC">
        <w:tc>
          <w:tcPr>
            <w:tcW w:w="600" w:type="pct"/>
            <w:tcBorders>
              <w:top w:val="single" w:sz="4" w:space="0" w:color="C6E1FC"/>
              <w:left w:val="single" w:sz="4" w:space="0" w:color="C6E1FC"/>
              <w:bottom w:val="single" w:sz="4" w:space="0" w:color="C6E1FC"/>
              <w:right w:val="single" w:sz="4" w:space="0" w:color="C6E1FC"/>
            </w:tcBorders>
            <w:shd w:val="clear" w:color="auto" w:fill="3974BD"/>
            <w:tcMar>
              <w:top w:w="54" w:type="dxa"/>
              <w:left w:w="54" w:type="dxa"/>
              <w:bottom w:w="54" w:type="dxa"/>
              <w:right w:w="54" w:type="dxa"/>
            </w:tcMar>
            <w:vAlign w:val="center"/>
            <w:hideMark/>
          </w:tcPr>
          <w:p w:rsidR="007077FC" w:rsidRPr="007077FC" w:rsidRDefault="007077FC" w:rsidP="007077FC">
            <w:pPr>
              <w:spacing w:after="0" w:line="240" w:lineRule="auto"/>
              <w:jc w:val="center"/>
              <w:rPr>
                <w:rFonts w:ascii="Times New Roman" w:eastAsia="Times New Roman" w:hAnsi="Times New Roman" w:cs="Times New Roman"/>
                <w:b/>
                <w:bCs/>
                <w:color w:val="FFFFFF"/>
                <w:sz w:val="24"/>
                <w:szCs w:val="24"/>
                <w:lang w:eastAsia="en-IN"/>
              </w:rPr>
            </w:pPr>
            <w:r w:rsidRPr="007077FC">
              <w:rPr>
                <w:rFonts w:ascii="Times New Roman" w:eastAsia="Times New Roman" w:hAnsi="Times New Roman" w:cs="Times New Roman"/>
                <w:b/>
                <w:bCs/>
                <w:color w:val="FFFFFF"/>
                <w:sz w:val="24"/>
                <w:szCs w:val="24"/>
                <w:lang w:eastAsia="en-IN"/>
              </w:rPr>
              <w:t>Question No.</w:t>
            </w:r>
          </w:p>
        </w:tc>
        <w:tc>
          <w:tcPr>
            <w:tcW w:w="3400" w:type="pct"/>
            <w:tcBorders>
              <w:top w:val="single" w:sz="4" w:space="0" w:color="C6E1FC"/>
              <w:left w:val="single" w:sz="4" w:space="0" w:color="C6E1FC"/>
              <w:bottom w:val="single" w:sz="4" w:space="0" w:color="C6E1FC"/>
              <w:right w:val="single" w:sz="4" w:space="0" w:color="C6E1FC"/>
            </w:tcBorders>
            <w:shd w:val="clear" w:color="auto" w:fill="3974BD"/>
            <w:tcMar>
              <w:top w:w="54" w:type="dxa"/>
              <w:left w:w="54" w:type="dxa"/>
              <w:bottom w:w="54" w:type="dxa"/>
              <w:right w:w="54" w:type="dxa"/>
            </w:tcMar>
            <w:vAlign w:val="center"/>
            <w:hideMark/>
          </w:tcPr>
          <w:p w:rsidR="007077FC" w:rsidRPr="007077FC" w:rsidRDefault="007077FC" w:rsidP="007077FC">
            <w:pPr>
              <w:spacing w:after="0" w:line="240" w:lineRule="auto"/>
              <w:jc w:val="center"/>
              <w:rPr>
                <w:rFonts w:ascii="Times New Roman" w:eastAsia="Times New Roman" w:hAnsi="Times New Roman" w:cs="Times New Roman"/>
                <w:b/>
                <w:bCs/>
                <w:color w:val="FFFFFF"/>
                <w:sz w:val="24"/>
                <w:szCs w:val="24"/>
                <w:lang w:eastAsia="en-IN"/>
              </w:rPr>
            </w:pPr>
            <w:r w:rsidRPr="007077FC">
              <w:rPr>
                <w:rFonts w:ascii="Times New Roman" w:eastAsia="Times New Roman" w:hAnsi="Times New Roman" w:cs="Times New Roman"/>
                <w:b/>
                <w:bCs/>
                <w:color w:val="FFFFFF"/>
                <w:sz w:val="24"/>
                <w:szCs w:val="24"/>
                <w:lang w:eastAsia="en-IN"/>
              </w:rPr>
              <w:t>Criteria</w:t>
            </w:r>
          </w:p>
        </w:tc>
        <w:tc>
          <w:tcPr>
            <w:tcW w:w="1000" w:type="pct"/>
            <w:tcBorders>
              <w:top w:val="single" w:sz="4" w:space="0" w:color="C6E1FC"/>
              <w:left w:val="single" w:sz="4" w:space="0" w:color="C6E1FC"/>
              <w:bottom w:val="single" w:sz="4" w:space="0" w:color="C6E1FC"/>
              <w:right w:val="single" w:sz="4" w:space="0" w:color="C6E1FC"/>
            </w:tcBorders>
            <w:shd w:val="clear" w:color="auto" w:fill="3974BD"/>
            <w:tcMar>
              <w:top w:w="54" w:type="dxa"/>
              <w:left w:w="54" w:type="dxa"/>
              <w:bottom w:w="54" w:type="dxa"/>
              <w:right w:w="54" w:type="dxa"/>
            </w:tcMar>
            <w:vAlign w:val="center"/>
            <w:hideMark/>
          </w:tcPr>
          <w:p w:rsidR="007077FC" w:rsidRPr="007077FC" w:rsidRDefault="007077FC" w:rsidP="007077FC">
            <w:pPr>
              <w:spacing w:after="0" w:line="240" w:lineRule="auto"/>
              <w:jc w:val="center"/>
              <w:rPr>
                <w:rFonts w:ascii="Times New Roman" w:eastAsia="Times New Roman" w:hAnsi="Times New Roman" w:cs="Times New Roman"/>
                <w:b/>
                <w:bCs/>
                <w:color w:val="FFFFFF"/>
                <w:sz w:val="24"/>
                <w:szCs w:val="24"/>
                <w:lang w:eastAsia="en-IN"/>
              </w:rPr>
            </w:pPr>
            <w:r w:rsidRPr="007077FC">
              <w:rPr>
                <w:rFonts w:ascii="Times New Roman" w:eastAsia="Times New Roman" w:hAnsi="Times New Roman" w:cs="Times New Roman"/>
                <w:b/>
                <w:bCs/>
                <w:color w:val="FFFFFF"/>
                <w:sz w:val="24"/>
                <w:szCs w:val="24"/>
                <w:lang w:eastAsia="en-IN"/>
              </w:rPr>
              <w:t>Average Rating(on a scale of 1 to 5)</w:t>
            </w: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What percentage of syllabus was completed in the class?</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2</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Were the teachers well prepared for the classes?</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3</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Were the teachers able to communicate well?</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4</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The following word/s best describes the teachers approach to teaching:</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5</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Internal assessments done by the teachers were:</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6</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Did the teachers discuss your performance with respect to the assignments with you?</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7</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Out-station industrial visits are certainly promoted in the Institute.</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8</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The teaching and mentoring process in our institution facilitates me in cognitive social and emotional growth.</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9</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The institution provides ample opportunities for the students to learn and grow.</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10</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The expected competencies course outcomes and programme outcomes are clearly communicated to us by the teachers.</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11</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A follow-up with an assigned task to me is done by my mentor</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12</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The concepts are well explained through examples and applications by the teachers.</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13</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Identification of students strengths and giving them challenging assignments accordingly is done in our institute</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14</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Identification of students weaknesses and various coping mechanisms are encouraged in the Institute</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15</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Feedback from the students with respect to monitoring review and continuous quality improvement of the teaching learning process is taken regularly</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16</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The teachers use student centric methods such as experiential learning participative learning and problem-solving methodologies for improving learning experiences</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17</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The Institute encourages me to participate in extracurricular activities.</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18</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Efforts are made by the Institute to inculcate soft skills life skills and employability skills to make students ready for the corporate world</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19</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ICT tools such as LCD projector Multimedia etc. while teaching is used by what percentage of teachers?</w:t>
            </w:r>
          </w:p>
        </w:tc>
        <w:tc>
          <w:tcPr>
            <w:tcW w:w="0" w:type="auto"/>
            <w:tcBorders>
              <w:top w:val="single" w:sz="4" w:space="0" w:color="C6E1FC"/>
              <w:left w:val="single" w:sz="4" w:space="0" w:color="C6E1FC"/>
              <w:bottom w:val="single" w:sz="4" w:space="0" w:color="C6E1FC"/>
              <w:right w:val="single" w:sz="4" w:space="0" w:color="C6E1FC"/>
            </w:tcBorders>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r w:rsidR="007077FC" w:rsidRPr="007077FC" w:rsidTr="007077F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20</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r w:rsidRPr="007077FC">
              <w:rPr>
                <w:rFonts w:ascii="Times New Roman" w:eastAsia="Times New Roman" w:hAnsi="Times New Roman" w:cs="Times New Roman"/>
                <w:sz w:val="24"/>
                <w:szCs w:val="24"/>
                <w:lang w:eastAsia="en-IN"/>
              </w:rPr>
              <w:t>The overall quality of teaching-learning process in our institute is very good</w:t>
            </w:r>
          </w:p>
        </w:tc>
        <w:tc>
          <w:tcPr>
            <w:tcW w:w="0" w:type="auto"/>
            <w:tcBorders>
              <w:top w:val="single" w:sz="4" w:space="0" w:color="C6E1FC"/>
              <w:left w:val="single" w:sz="4" w:space="0" w:color="C6E1FC"/>
              <w:bottom w:val="single" w:sz="4" w:space="0" w:color="C6E1FC"/>
              <w:right w:val="single" w:sz="4" w:space="0" w:color="C6E1FC"/>
            </w:tcBorders>
            <w:shd w:val="clear" w:color="auto" w:fill="F4FBFF"/>
            <w:tcMar>
              <w:top w:w="54" w:type="dxa"/>
              <w:left w:w="107" w:type="dxa"/>
              <w:bottom w:w="54" w:type="dxa"/>
              <w:right w:w="107" w:type="dxa"/>
            </w:tcMar>
            <w:hideMark/>
          </w:tcPr>
          <w:p w:rsidR="007077FC" w:rsidRPr="007077FC" w:rsidRDefault="007077FC" w:rsidP="007077FC">
            <w:pPr>
              <w:spacing w:after="0" w:line="240" w:lineRule="auto"/>
              <w:rPr>
                <w:rFonts w:ascii="Times New Roman" w:eastAsia="Times New Roman" w:hAnsi="Times New Roman" w:cs="Times New Roman"/>
                <w:sz w:val="24"/>
                <w:szCs w:val="24"/>
                <w:lang w:eastAsia="en-IN"/>
              </w:rPr>
            </w:pPr>
          </w:p>
        </w:tc>
      </w:tr>
    </w:tbl>
    <w:p w:rsidR="000046FA" w:rsidRDefault="00601A66"/>
    <w:p w:rsidR="00014892" w:rsidRPr="00014892" w:rsidRDefault="00014892" w:rsidP="00014892">
      <w:pPr>
        <w:shd w:val="clear" w:color="auto" w:fill="EDF5FB"/>
        <w:spacing w:after="161" w:line="240" w:lineRule="auto"/>
        <w:rPr>
          <w:rFonts w:ascii="Arial" w:eastAsia="Times New Roman" w:hAnsi="Arial" w:cs="Arial"/>
          <w:b/>
          <w:bCs/>
          <w:color w:val="003679"/>
          <w:sz w:val="15"/>
          <w:szCs w:val="15"/>
          <w:lang w:eastAsia="en-IN"/>
        </w:rPr>
      </w:pPr>
      <w:r w:rsidRPr="00014892">
        <w:rPr>
          <w:rFonts w:ascii="Arial" w:eastAsia="Times New Roman" w:hAnsi="Arial" w:cs="Arial"/>
          <w:b/>
          <w:bCs/>
          <w:color w:val="003679"/>
          <w:sz w:val="15"/>
          <w:szCs w:val="15"/>
          <w:lang w:eastAsia="en-IN"/>
        </w:rPr>
        <w:lastRenderedPageBreak/>
        <w:t>Question-wise Average Response Score (on a 1 to 5 scale)</w:t>
      </w:r>
    </w:p>
    <w:p w:rsidR="00014892" w:rsidRPr="00014892" w:rsidRDefault="00014892" w:rsidP="00014892">
      <w:pPr>
        <w:shd w:val="clear" w:color="auto" w:fill="EDF5FB"/>
        <w:spacing w:after="161" w:line="240" w:lineRule="auto"/>
        <w:rPr>
          <w:rFonts w:ascii="Arial" w:eastAsia="Times New Roman" w:hAnsi="Arial" w:cs="Arial"/>
          <w:b/>
          <w:bCs/>
          <w:color w:val="003679"/>
          <w:sz w:val="15"/>
          <w:szCs w:val="15"/>
          <w:lang w:eastAsia="en-IN"/>
        </w:rPr>
      </w:pPr>
      <w:r w:rsidRPr="00014892">
        <w:rPr>
          <w:rFonts w:ascii="Arial" w:eastAsia="Times New Roman" w:hAnsi="Arial" w:cs="Arial"/>
          <w:b/>
          <w:bCs/>
          <w:color w:val="003679"/>
          <w:sz w:val="15"/>
          <w:szCs w:val="15"/>
          <w:lang w:eastAsia="en-IN"/>
        </w:rPr>
        <w:t>Major suggestions and observations by students that can improve the overall learning experience</w:t>
      </w:r>
    </w:p>
    <w:p w:rsidR="00014892" w:rsidRPr="00014892" w:rsidRDefault="00014892" w:rsidP="00014892">
      <w:pPr>
        <w:spacing w:after="0" w:line="236" w:lineRule="atLeast"/>
        <w:jc w:val="both"/>
        <w:rPr>
          <w:rFonts w:ascii="Arial" w:eastAsia="Times New Roman" w:hAnsi="Arial" w:cs="Arial"/>
          <w:color w:val="151515"/>
          <w:sz w:val="15"/>
          <w:szCs w:val="15"/>
          <w:lang w:eastAsia="en-IN"/>
        </w:rPr>
      </w:pPr>
      <w:r w:rsidRPr="00014892">
        <w:rPr>
          <w:rFonts w:ascii="Arial" w:eastAsia="Times New Roman" w:hAnsi="Arial" w:cs="Arial"/>
          <w:b/>
          <w:bCs/>
          <w:color w:val="151515"/>
          <w:sz w:val="15"/>
          <w:lang w:eastAsia="en-IN"/>
        </w:rPr>
        <w:t>Key strengths identified by the students that have helped them grow:</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Students are thoroughly satisfied regarding the completion of the syllabus along with the teacher’s preparation of the topics discussed during the sessions.</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Teachers adopt interactive and participative learning methods which helped students to understand the subject thoroughly.</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Supportive teaching and non-teaching staff. College functions like a family in a coherent manner.</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Discussing the students’ progress and feedback, either on one-on-one basis or in a collective manner helps the student enhance his / her outcome.</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The opportunities that were provided by the Institute to the students has helped them groom their personality and engaged them to think out-of-the box.</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Students have expressed satisfaction regarding the use of digital techniques to teach and explain concepts and presentations.</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 xml:space="preserve">Guest </w:t>
      </w:r>
      <w:proofErr w:type="spellStart"/>
      <w:r w:rsidRPr="00014892">
        <w:rPr>
          <w:rFonts w:ascii="Arial" w:eastAsia="Times New Roman" w:hAnsi="Arial" w:cs="Arial"/>
          <w:color w:val="151515"/>
          <w:sz w:val="16"/>
          <w:szCs w:val="16"/>
          <w:lang w:eastAsia="en-IN"/>
        </w:rPr>
        <w:t>lectures</w:t>
      </w:r>
      <w:proofErr w:type="spellEnd"/>
      <w:r w:rsidRPr="00014892">
        <w:rPr>
          <w:rFonts w:ascii="Arial" w:eastAsia="Times New Roman" w:hAnsi="Arial" w:cs="Arial"/>
          <w:color w:val="151515"/>
          <w:sz w:val="16"/>
          <w:szCs w:val="16"/>
          <w:lang w:eastAsia="en-IN"/>
        </w:rPr>
        <w:t xml:space="preserve"> from industry experts and seniors who have passed-out added to the pleasure of learning. Interactive sessions especially with alumni give an insight to the professional scenario.</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Fairness during evaluation is valued by students.</w:t>
      </w:r>
    </w:p>
    <w:p w:rsidR="00014892" w:rsidRPr="00014892" w:rsidRDefault="00014892" w:rsidP="00014892">
      <w:pPr>
        <w:numPr>
          <w:ilvl w:val="0"/>
          <w:numId w:val="1"/>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The mentor – mentee program has benefitted not only the brighter students of the batch but also students who are apprehensive and face anxiety, or are over-whelmed by the surrounding. The Institute keeps a follow-up with the weaker students of the batch.</w:t>
      </w:r>
    </w:p>
    <w:p w:rsidR="00014892" w:rsidRPr="00014892" w:rsidRDefault="00014892" w:rsidP="00014892">
      <w:pPr>
        <w:numPr>
          <w:ilvl w:val="0"/>
          <w:numId w:val="1"/>
        </w:numPr>
        <w:spacing w:after="109"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Session with HR and Finance experts explained the various concepts that are implemented or which the industry would generally look for in a prospective candidate.</w:t>
      </w:r>
    </w:p>
    <w:p w:rsidR="00014892" w:rsidRPr="00014892" w:rsidRDefault="00014892" w:rsidP="00014892">
      <w:pPr>
        <w:spacing w:after="0" w:line="236" w:lineRule="atLeast"/>
        <w:jc w:val="both"/>
        <w:rPr>
          <w:rFonts w:ascii="Arial" w:eastAsia="Times New Roman" w:hAnsi="Arial" w:cs="Arial"/>
          <w:color w:val="151515"/>
          <w:sz w:val="15"/>
          <w:szCs w:val="15"/>
          <w:lang w:eastAsia="en-IN"/>
        </w:rPr>
      </w:pPr>
      <w:r w:rsidRPr="00014892">
        <w:rPr>
          <w:rFonts w:ascii="Arial" w:eastAsia="Times New Roman" w:hAnsi="Arial" w:cs="Arial"/>
          <w:b/>
          <w:bCs/>
          <w:color w:val="151515"/>
          <w:sz w:val="15"/>
          <w:lang w:eastAsia="en-IN"/>
        </w:rPr>
        <w:t>The students have also expressed some suggestions which could enhance the overall experience of students in the Institute:</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Students would be interested in additional courses such as Digital Marketing, Ms Excel, Data Analytics and other such certificate courses can also be introduced.</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 xml:space="preserve">More sharing of </w:t>
      </w:r>
      <w:proofErr w:type="spellStart"/>
      <w:r w:rsidRPr="00014892">
        <w:rPr>
          <w:rFonts w:ascii="Arial" w:eastAsia="Times New Roman" w:hAnsi="Arial" w:cs="Arial"/>
          <w:color w:val="151515"/>
          <w:sz w:val="16"/>
          <w:szCs w:val="16"/>
          <w:lang w:eastAsia="en-IN"/>
        </w:rPr>
        <w:t>and</w:t>
      </w:r>
      <w:proofErr w:type="spellEnd"/>
      <w:r w:rsidRPr="00014892">
        <w:rPr>
          <w:rFonts w:ascii="Arial" w:eastAsia="Times New Roman" w:hAnsi="Arial" w:cs="Arial"/>
          <w:color w:val="151515"/>
          <w:sz w:val="16"/>
          <w:szCs w:val="16"/>
          <w:lang w:eastAsia="en-IN"/>
        </w:rPr>
        <w:t xml:space="preserve"> emphasis on real-life examples can be given by the teachers.</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Introduction of sports activities and having some health improvement sessions can add enthusiasm among the students.</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Students have expressed that more guest lectures, events and industrial visits, activities related to current affairs in economics and finance would be appreciated.</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 xml:space="preserve">Case study analysis </w:t>
      </w:r>
      <w:proofErr w:type="spellStart"/>
      <w:r w:rsidRPr="00014892">
        <w:rPr>
          <w:rFonts w:ascii="Arial" w:eastAsia="Times New Roman" w:hAnsi="Arial" w:cs="Arial"/>
          <w:color w:val="151515"/>
          <w:sz w:val="16"/>
          <w:szCs w:val="16"/>
          <w:lang w:eastAsia="en-IN"/>
        </w:rPr>
        <w:t>weightage</w:t>
      </w:r>
      <w:proofErr w:type="spellEnd"/>
      <w:r w:rsidRPr="00014892">
        <w:rPr>
          <w:rFonts w:ascii="Arial" w:eastAsia="Times New Roman" w:hAnsi="Arial" w:cs="Arial"/>
          <w:color w:val="151515"/>
          <w:sz w:val="16"/>
          <w:szCs w:val="16"/>
          <w:lang w:eastAsia="en-IN"/>
        </w:rPr>
        <w:t xml:space="preserve"> should be high in the exam paper - for 50 marks. Keep multiple case studies in exam.</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Train students in specific skills - negotiations and articulation skills with the client presentation skills. Writing skills - students can be asked to write and publish blogs about market/specific Company/ financial facets.</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 xml:space="preserve">Teachers can share </w:t>
      </w:r>
      <w:proofErr w:type="spellStart"/>
      <w:r w:rsidRPr="00014892">
        <w:rPr>
          <w:rFonts w:ascii="Arial" w:eastAsia="Times New Roman" w:hAnsi="Arial" w:cs="Arial"/>
          <w:color w:val="151515"/>
          <w:sz w:val="16"/>
          <w:szCs w:val="16"/>
          <w:lang w:eastAsia="en-IN"/>
        </w:rPr>
        <w:t>pdf</w:t>
      </w:r>
      <w:proofErr w:type="spellEnd"/>
      <w:r w:rsidRPr="00014892">
        <w:rPr>
          <w:rFonts w:ascii="Arial" w:eastAsia="Times New Roman" w:hAnsi="Arial" w:cs="Arial"/>
          <w:color w:val="151515"/>
          <w:sz w:val="16"/>
          <w:szCs w:val="16"/>
          <w:lang w:eastAsia="en-IN"/>
        </w:rPr>
        <w:t xml:space="preserve"> or soft copies of books which can be stored by the students.</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Use more of e-learning elements during the year.</w:t>
      </w:r>
    </w:p>
    <w:p w:rsidR="00014892" w:rsidRPr="00014892" w:rsidRDefault="00014892" w:rsidP="00014892">
      <w:pPr>
        <w:numPr>
          <w:ilvl w:val="0"/>
          <w:numId w:val="2"/>
        </w:numPr>
        <w:spacing w:after="0"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Computer Centre should be opened at 8 AM in the morning.</w:t>
      </w:r>
    </w:p>
    <w:p w:rsidR="00014892" w:rsidRPr="00014892" w:rsidRDefault="00014892" w:rsidP="00014892">
      <w:pPr>
        <w:numPr>
          <w:ilvl w:val="0"/>
          <w:numId w:val="2"/>
        </w:numPr>
        <w:spacing w:after="161" w:line="236" w:lineRule="atLeast"/>
        <w:ind w:left="0"/>
        <w:jc w:val="both"/>
        <w:rPr>
          <w:rFonts w:ascii="Arial" w:eastAsia="Times New Roman" w:hAnsi="Arial" w:cs="Arial"/>
          <w:color w:val="151515"/>
          <w:sz w:val="16"/>
          <w:szCs w:val="16"/>
          <w:lang w:eastAsia="en-IN"/>
        </w:rPr>
      </w:pPr>
      <w:r w:rsidRPr="00014892">
        <w:rPr>
          <w:rFonts w:ascii="Arial" w:eastAsia="Times New Roman" w:hAnsi="Arial" w:cs="Arial"/>
          <w:color w:val="151515"/>
          <w:sz w:val="16"/>
          <w:szCs w:val="16"/>
          <w:lang w:eastAsia="en-IN"/>
        </w:rPr>
        <w:t>Fresher’s Party can be arranged for Three Year Part Time MMM/MFM/MHRDM program students as well.</w:t>
      </w:r>
    </w:p>
    <w:p w:rsidR="00014892" w:rsidRDefault="00014892" w:rsidP="00014892"/>
    <w:sectPr w:rsidR="00014892" w:rsidSect="00F80F81">
      <w:pgSz w:w="11906" w:h="16838"/>
      <w:pgMar w:top="1440"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61646"/>
    <w:multiLevelType w:val="multilevel"/>
    <w:tmpl w:val="750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B35E0"/>
    <w:multiLevelType w:val="multilevel"/>
    <w:tmpl w:val="23C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077FC"/>
    <w:rsid w:val="00014892"/>
    <w:rsid w:val="004A0EC9"/>
    <w:rsid w:val="00601A66"/>
    <w:rsid w:val="007077FC"/>
    <w:rsid w:val="0079039C"/>
    <w:rsid w:val="00A06D41"/>
    <w:rsid w:val="00D151E6"/>
    <w:rsid w:val="00D74EE5"/>
    <w:rsid w:val="00F80F81"/>
    <w:rsid w:val="00FF1D7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7F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077FC"/>
    <w:rPr>
      <w:b/>
      <w:bCs/>
    </w:rPr>
  </w:style>
  <w:style w:type="paragraph" w:styleId="BalloonText">
    <w:name w:val="Balloon Text"/>
    <w:basedOn w:val="Normal"/>
    <w:link w:val="BalloonTextChar"/>
    <w:uiPriority w:val="99"/>
    <w:semiHidden/>
    <w:unhideWhenUsed/>
    <w:rsid w:val="0001489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1489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321227918">
      <w:bodyDiv w:val="1"/>
      <w:marLeft w:val="0"/>
      <w:marRight w:val="0"/>
      <w:marTop w:val="0"/>
      <w:marBottom w:val="0"/>
      <w:divBdr>
        <w:top w:val="none" w:sz="0" w:space="0" w:color="auto"/>
        <w:left w:val="none" w:sz="0" w:space="0" w:color="auto"/>
        <w:bottom w:val="none" w:sz="0" w:space="0" w:color="auto"/>
        <w:right w:val="none" w:sz="0" w:space="0" w:color="auto"/>
      </w:divBdr>
      <w:divsChild>
        <w:div w:id="1299456878">
          <w:marLeft w:val="0"/>
          <w:marRight w:val="0"/>
          <w:marTop w:val="0"/>
          <w:marBottom w:val="161"/>
          <w:divBdr>
            <w:top w:val="none" w:sz="0" w:space="0" w:color="auto"/>
            <w:left w:val="none" w:sz="0" w:space="0" w:color="auto"/>
            <w:bottom w:val="none" w:sz="0" w:space="0" w:color="auto"/>
            <w:right w:val="none" w:sz="0" w:space="0" w:color="auto"/>
          </w:divBdr>
        </w:div>
      </w:divsChild>
    </w:div>
    <w:div w:id="1610887962">
      <w:bodyDiv w:val="1"/>
      <w:marLeft w:val="0"/>
      <w:marRight w:val="0"/>
      <w:marTop w:val="0"/>
      <w:marBottom w:val="0"/>
      <w:divBdr>
        <w:top w:val="none" w:sz="0" w:space="0" w:color="auto"/>
        <w:left w:val="none" w:sz="0" w:space="0" w:color="auto"/>
        <w:bottom w:val="none" w:sz="0" w:space="0" w:color="auto"/>
        <w:right w:val="none" w:sz="0" w:space="0" w:color="auto"/>
      </w:divBdr>
      <w:divsChild>
        <w:div w:id="1750421418">
          <w:marLeft w:val="0"/>
          <w:marRight w:val="0"/>
          <w:marTop w:val="0"/>
          <w:marBottom w:val="0"/>
          <w:divBdr>
            <w:top w:val="none" w:sz="0" w:space="0" w:color="auto"/>
            <w:left w:val="none" w:sz="0" w:space="0" w:color="auto"/>
            <w:bottom w:val="none" w:sz="0" w:space="0" w:color="auto"/>
            <w:right w:val="none" w:sz="0" w:space="0" w:color="auto"/>
          </w:divBdr>
        </w:div>
        <w:div w:id="1480220521">
          <w:marLeft w:val="0"/>
          <w:marRight w:val="0"/>
          <w:marTop w:val="0"/>
          <w:marBottom w:val="0"/>
          <w:divBdr>
            <w:top w:val="none" w:sz="0" w:space="0" w:color="auto"/>
            <w:left w:val="none" w:sz="0" w:space="0" w:color="auto"/>
            <w:bottom w:val="none" w:sz="0" w:space="0" w:color="auto"/>
            <w:right w:val="none" w:sz="0" w:space="0" w:color="auto"/>
          </w:divBdr>
        </w:div>
      </w:divsChild>
    </w:div>
    <w:div w:id="1939558689">
      <w:bodyDiv w:val="1"/>
      <w:marLeft w:val="0"/>
      <w:marRight w:val="0"/>
      <w:marTop w:val="0"/>
      <w:marBottom w:val="0"/>
      <w:divBdr>
        <w:top w:val="none" w:sz="0" w:space="0" w:color="auto"/>
        <w:left w:val="none" w:sz="0" w:space="0" w:color="auto"/>
        <w:bottom w:val="none" w:sz="0" w:space="0" w:color="auto"/>
        <w:right w:val="none" w:sz="0" w:space="0" w:color="auto"/>
      </w:divBdr>
      <w:divsChild>
        <w:div w:id="1657949343">
          <w:marLeft w:val="0"/>
          <w:marRight w:val="0"/>
          <w:marTop w:val="0"/>
          <w:marBottom w:val="0"/>
          <w:divBdr>
            <w:top w:val="none" w:sz="0" w:space="0" w:color="auto"/>
            <w:left w:val="none" w:sz="0" w:space="0" w:color="auto"/>
            <w:bottom w:val="none" w:sz="0" w:space="0" w:color="auto"/>
            <w:right w:val="none" w:sz="0" w:space="0" w:color="auto"/>
          </w:divBdr>
          <w:divsChild>
            <w:div w:id="1980459195">
              <w:marLeft w:val="0"/>
              <w:marRight w:val="0"/>
              <w:marTop w:val="0"/>
              <w:marBottom w:val="0"/>
              <w:divBdr>
                <w:top w:val="none" w:sz="0" w:space="0" w:color="auto"/>
                <w:left w:val="none" w:sz="0" w:space="0" w:color="auto"/>
                <w:bottom w:val="none" w:sz="0" w:space="0" w:color="auto"/>
                <w:right w:val="none" w:sz="0" w:space="0" w:color="auto"/>
              </w:divBdr>
              <w:divsChild>
                <w:div w:id="1104349408">
                  <w:marLeft w:val="0"/>
                  <w:marRight w:val="0"/>
                  <w:marTop w:val="0"/>
                  <w:marBottom w:val="0"/>
                  <w:divBdr>
                    <w:top w:val="none" w:sz="0" w:space="0" w:color="auto"/>
                    <w:left w:val="none" w:sz="0" w:space="0" w:color="auto"/>
                    <w:bottom w:val="none" w:sz="0" w:space="0" w:color="auto"/>
                    <w:right w:val="none" w:sz="0" w:space="0" w:color="auto"/>
                  </w:divBdr>
                  <w:divsChild>
                    <w:div w:id="1794715016">
                      <w:marLeft w:val="0"/>
                      <w:marRight w:val="0"/>
                      <w:marTop w:val="0"/>
                      <w:marBottom w:val="161"/>
                      <w:divBdr>
                        <w:top w:val="none" w:sz="0" w:space="0" w:color="auto"/>
                        <w:left w:val="none" w:sz="0" w:space="0" w:color="auto"/>
                        <w:bottom w:val="none" w:sz="0" w:space="0" w:color="auto"/>
                        <w:right w:val="none" w:sz="0" w:space="0" w:color="auto"/>
                      </w:divBdr>
                      <w:divsChild>
                        <w:div w:id="1188790143">
                          <w:marLeft w:val="0"/>
                          <w:marRight w:val="0"/>
                          <w:marTop w:val="322"/>
                          <w:marBottom w:val="161"/>
                          <w:divBdr>
                            <w:top w:val="none" w:sz="0" w:space="0" w:color="auto"/>
                            <w:left w:val="none" w:sz="0" w:space="0" w:color="auto"/>
                            <w:bottom w:val="none" w:sz="0" w:space="0" w:color="auto"/>
                            <w:right w:val="none" w:sz="0" w:space="0" w:color="auto"/>
                          </w:divBdr>
                        </w:div>
                        <w:div w:id="963266091">
                          <w:marLeft w:val="0"/>
                          <w:marRight w:val="0"/>
                          <w:marTop w:val="109"/>
                          <w:marBottom w:val="109"/>
                          <w:divBdr>
                            <w:top w:val="none" w:sz="0" w:space="0" w:color="auto"/>
                            <w:left w:val="none" w:sz="0" w:space="0" w:color="auto"/>
                            <w:bottom w:val="none" w:sz="0" w:space="0" w:color="auto"/>
                            <w:right w:val="none" w:sz="0" w:space="0" w:color="auto"/>
                          </w:divBdr>
                        </w:div>
                        <w:div w:id="1635327768">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CTTC4</cp:lastModifiedBy>
  <cp:revision>4</cp:revision>
  <cp:lastPrinted>2022-09-02T06:39:00Z</cp:lastPrinted>
  <dcterms:created xsi:type="dcterms:W3CDTF">2022-09-02T06:40:00Z</dcterms:created>
  <dcterms:modified xsi:type="dcterms:W3CDTF">2022-09-02T07:30:00Z</dcterms:modified>
</cp:coreProperties>
</file>